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UMOWA POWIERZENIA PRZETWARZANIA DANYCH</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(dalej również: „</w:t>
      </w:r>
      <w:r w:rsidDel="00000000" w:rsidR="00000000" w:rsidRPr="00000000">
        <w:rPr>
          <w:rFonts w:ascii="Times New Roman" w:cs="Times New Roman" w:eastAsia="Times New Roman" w:hAnsi="Times New Roman"/>
          <w:b w:val="1"/>
          <w:rtl w:val="0"/>
        </w:rPr>
        <w:t xml:space="preserve">Umowa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3">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zawarta dnia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r. w </w:t>
      </w:r>
      <w:r w:rsidDel="00000000" w:rsidR="00000000" w:rsidRPr="00000000">
        <w:rPr>
          <w:rFonts w:ascii="Times New Roman" w:cs="Times New Roman" w:eastAsia="Times New Roman" w:hAnsi="Times New Roman"/>
          <w:highlight w:val="yellow"/>
          <w:rtl w:val="0"/>
        </w:rPr>
        <w:t xml:space="preserve">[__]</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pomiędzy:</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highlight w:val="yellow"/>
          <w:rtl w:val="0"/>
        </w:rPr>
        <w:t xml:space="preserve">__</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z siedzibą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adres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wpisaną do Rejestru Przedsiębiorców Krajowego Rejestru Sądowego, prowadzonego przez Sąd Rejonowy dla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Wydział Gospodarczy Krajowego Rejestru Sądowego, pod numerem KRS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NIP: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[SM1] </w:t>
      </w:r>
      <w:r w:rsidDel="00000000" w:rsidR="00000000" w:rsidRPr="00000000">
        <w:rPr>
          <w:rFonts w:ascii="Times New Roman" w:cs="Times New Roman" w:eastAsia="Times New Roman" w:hAnsi="Times New Roman"/>
          <w:rtl w:val="0"/>
        </w:rPr>
        <w:t xml:space="preserve">, o kapitale zakładowym w wysokości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zł opłaconego w całości, reprezentowaną przez:</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_imię i nazwisko_</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highlight w:val="yellow"/>
          <w:rtl w:val="0"/>
        </w:rPr>
        <w:t xml:space="preserve">_funkcja_</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(dalej również: „</w:t>
      </w:r>
      <w:r w:rsidDel="00000000" w:rsidR="00000000" w:rsidRPr="00000000">
        <w:rPr>
          <w:rFonts w:ascii="Times New Roman" w:cs="Times New Roman" w:eastAsia="Times New Roman" w:hAnsi="Times New Roman"/>
          <w:b w:val="1"/>
          <w:rtl w:val="0"/>
        </w:rPr>
        <w:t xml:space="preserve">Użytkownik</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highlight w:val="yellow"/>
          <w:rtl w:val="0"/>
        </w:rPr>
        <w:t xml:space="preserve">__</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prowadzący działalność gospodarcza pod firma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z siedzibą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adres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numer PESEL: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NIP: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[SM2]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reprezentowanym przez:</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yellow"/>
          <w:rtl w:val="0"/>
        </w:rPr>
        <w:t xml:space="preserve">_imię i nazwisko_</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highlight w:val="yellow"/>
          <w:rtl w:val="0"/>
        </w:rPr>
        <w:t xml:space="preserve">_funkcja_</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(dalej również: „</w:t>
      </w:r>
      <w:r w:rsidDel="00000000" w:rsidR="00000000" w:rsidRPr="00000000">
        <w:rPr>
          <w:rFonts w:ascii="Times New Roman" w:cs="Times New Roman" w:eastAsia="Times New Roman" w:hAnsi="Times New Roman"/>
          <w:b w:val="1"/>
          <w:rtl w:val="0"/>
        </w:rPr>
        <w:t xml:space="preserve">Użytkownik</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TYTANI24 spółka z ograniczoną odpowiedzialnością z siedzibą we Wrocławiu, ul. Ząbkowicka 55, 50-511 Wrocław, wpisana do rejestru przedsiębiorców Krajowego Rejestru Sądowego prowadzonego przez Sąd Rejonowy we Wrocławiu, VI Wydział Gospodarczy Krajowego Rejestru Sądowego, pod numerem KRS 0000725465, REGON 369879064, NIP 8992843182, o kapitale zakładowym w wysokości  20.000,00 zł. opłaconego w całości, reprezentowaną przez:</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_imię i nazwisko_</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highlight w:val="yellow"/>
          <w:rtl w:val="0"/>
        </w:rPr>
        <w:t xml:space="preserve">_funkcja_</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highlight w:val="yellow"/>
          <w:rtl w:val="0"/>
        </w:rPr>
        <w:t xml:space="preserve">_imię i nazwisko_</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highlight w:val="yellow"/>
          <w:rtl w:val="0"/>
        </w:rPr>
        <w:t xml:space="preserve">_funkcja_</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(dalej również: „</w:t>
      </w:r>
      <w:r w:rsidDel="00000000" w:rsidR="00000000" w:rsidRPr="00000000">
        <w:rPr>
          <w:rFonts w:ascii="Times New Roman" w:cs="Times New Roman" w:eastAsia="Times New Roman" w:hAnsi="Times New Roman"/>
          <w:b w:val="1"/>
          <w:rtl w:val="0"/>
        </w:rPr>
        <w:t xml:space="preserve">Tytani24</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(Użytkownik i Tytani24 zwani są dalej łącznie „</w:t>
      </w:r>
      <w:r w:rsidDel="00000000" w:rsidR="00000000" w:rsidRPr="00000000">
        <w:rPr>
          <w:rFonts w:ascii="Times New Roman" w:cs="Times New Roman" w:eastAsia="Times New Roman" w:hAnsi="Times New Roman"/>
          <w:b w:val="1"/>
          <w:rtl w:val="0"/>
        </w:rPr>
        <w:t xml:space="preserve">Stronami</w:t>
      </w:r>
      <w:r w:rsidDel="00000000" w:rsidR="00000000" w:rsidRPr="00000000">
        <w:rPr>
          <w:rFonts w:ascii="Times New Roman" w:cs="Times New Roman" w:eastAsia="Times New Roman" w:hAnsi="Times New Roman"/>
          <w:rtl w:val="0"/>
        </w:rPr>
        <w:t xml:space="preserve">”, a każdy z osobna „</w:t>
      </w:r>
      <w:r w:rsidDel="00000000" w:rsidR="00000000" w:rsidRPr="00000000">
        <w:rPr>
          <w:rFonts w:ascii="Times New Roman" w:cs="Times New Roman" w:eastAsia="Times New Roman" w:hAnsi="Times New Roman"/>
          <w:b w:val="1"/>
          <w:rtl w:val="0"/>
        </w:rPr>
        <w:t xml:space="preserve">Stroną</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Mając na uwadze fakt, że Użytkownik zaakceptował w dniu [</w:t>
      </w:r>
      <w:r w:rsidDel="00000000" w:rsidR="00000000" w:rsidRPr="00000000">
        <w:rPr>
          <w:rFonts w:ascii="Times New Roman" w:cs="Times New Roman" w:eastAsia="Times New Roman" w:hAnsi="Times New Roman"/>
          <w:highlight w:val="yellow"/>
          <w:rtl w:val="0"/>
        </w:rPr>
        <w:t xml:space="preserve">__</w:t>
      </w:r>
      <w:r w:rsidDel="00000000" w:rsidR="00000000" w:rsidRPr="00000000">
        <w:rPr>
          <w:rFonts w:ascii="Times New Roman" w:cs="Times New Roman" w:eastAsia="Times New Roman" w:hAnsi="Times New Roman"/>
          <w:rtl w:val="0"/>
        </w:rPr>
        <w:t xml:space="preserve">] roku, regulamin świadczenia Usług, na podstawie którego Tytani24 przetwarzają dane osobowe Użytkownika (dalej również „</w:t>
      </w:r>
      <w:r w:rsidDel="00000000" w:rsidR="00000000" w:rsidRPr="00000000">
        <w:rPr>
          <w:rFonts w:ascii="Times New Roman" w:cs="Times New Roman" w:eastAsia="Times New Roman" w:hAnsi="Times New Roman"/>
          <w:b w:val="1"/>
          <w:rtl w:val="0"/>
        </w:rPr>
        <w:t xml:space="preserve">Regulamin</w:t>
      </w:r>
      <w:r w:rsidDel="00000000" w:rsidR="00000000" w:rsidRPr="00000000">
        <w:rPr>
          <w:rFonts w:ascii="Times New Roman" w:cs="Times New Roman" w:eastAsia="Times New Roman" w:hAnsi="Times New Roman"/>
          <w:rtl w:val="0"/>
        </w:rPr>
        <w:t xml:space="preserve">”), Strony zawierają Umowę o następującej treści:</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Przedmiot powierzenia i oświadczenia Stron</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Użytkownik oświadcza, że jest uprawniony do powierzenia przetwarzania danych osobowych w zakresie wskazanym w Załączniku nr 1 i na zasadach wskazanych w niniejszej Umowie powierza Tytani24 do przetwarzania dane osobowe.</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Zakres powierzenia i kategorie czynności przetwarzania wskazane w Załączniku nr 1, mogą zostać w każdym momencie rozszerzone albo ograniczone przez Użytkownika. Zmiana Załącznika nr 1 w zakresie ograniczenia albo rozszerzenia zakresu i kategorii może być dokonana poprzez przesłanie przez Użytkownika do Tytani24 nowej zmienionej wersji Załącznika nr 1 w formie elektronicznej (na adres e-mail wskazany w Regulaminie). Strony niniejszym wyłączają możliwość udzielenia tzw. milczącej zgody przez Tytani24.</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Dane osobowe przetwarzane są w celu realizacji Usług na podstawie Regulaminu. Tytani24 zobowiązują się do przetwarzania powierzonych im danych osobowych wyłącznie w zakresie                  i celu niezbędnym do realizacji obowiązków wynikających z Regulaminu.</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Obowiązki i Odpowiedzialność Stron</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oświadczają, że zapewniają wystarczające gwarancje wdrożenia odpowiednich środków technicznych i organizacyjnych, by przetwarzanie spełniało wymogi RODO i chroniło prawa osób, których dane dotyczą.</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zobowiązani są:</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przetwarzać dane osobowe wyłącznie na udokumentowane polecenie Użytkownika, co dotyczy także przekazywania danych osobowych do państwa trzeciego lub organizacji międzynarodowej, chyba że obowiązek taki wynika z powszechnie obowiązujących przepisów prawa,</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dopuszczać do przetwarzania danych osobowych wyłącznie osoby odpowiednie upoważnione do tego, które zobowiązały się do zachowania tajemnicy, lub które podlegają odpowiedniemu ustawowemu obowiązkowi zachowania tajemnicy,</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podejmować wszelkie środki wymagane, zgodnie z art. 32 RODO, z uwzględnieniem stanu wiedzy technicznej, kosztów wdrażania oraz charakteru, zakresu, kontekstu i celów przetwarzania oraz ryzyka naruszenia praw lub wolności osób fizycznych o różnym prawdopodobieństwie wystąpienia i wadze zagrożenia, poprzez wdrożenie odpowiednich środków technicznych i organizacyjnych zapewniających stopień bezpieczeństwa odpowiadający temu ryzyku,</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przestrzegać warunków korzystania z usług podmiotu, któremu podpowierza przetwarzanie danych osobowych zgodnie z następującymi zasadami:</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są uprawnieni do dokonania dalszego powierzenia (podpowierzenia) przetwarzania danych osobowych innemu podmiotowi (dalej również: „</w:t>
      </w:r>
      <w:r w:rsidDel="00000000" w:rsidR="00000000" w:rsidRPr="00000000">
        <w:rPr>
          <w:rFonts w:ascii="Times New Roman" w:cs="Times New Roman" w:eastAsia="Times New Roman" w:hAnsi="Times New Roman"/>
          <w:b w:val="1"/>
          <w:rtl w:val="0"/>
        </w:rPr>
        <w:t xml:space="preserve">Podprocesorzy</w:t>
      </w:r>
      <w:r w:rsidDel="00000000" w:rsidR="00000000" w:rsidRPr="00000000">
        <w:rPr>
          <w:rFonts w:ascii="Times New Roman" w:cs="Times New Roman" w:eastAsia="Times New Roman" w:hAnsi="Times New Roman"/>
          <w:rtl w:val="0"/>
        </w:rPr>
        <w:t xml:space="preserve">”). Kategorie podmiotów z których korzysta Tytani24 obejmują:</w:t>
      </w:r>
    </w:p>
    <w:p w:rsidR="00000000" w:rsidDel="00000000" w:rsidP="00000000" w:rsidRDefault="00000000" w:rsidRPr="00000000" w14:paraId="00000024">
      <w:pPr>
        <w:ind w:left="3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dostawców usług i systemów IT, które wykorzystywane są do świadczenia Usług przez Tytani24, w tym m.in.: (1) ATM S.A., (2) OVH sp. z o.o. (3) GitHub, (4) 3S Data center S.A.;</w:t>
      </w:r>
    </w:p>
    <w:p w:rsidR="00000000" w:rsidDel="00000000" w:rsidP="00000000" w:rsidRDefault="00000000" w:rsidRPr="00000000" w14:paraId="00000025">
      <w:pPr>
        <w:ind w:left="3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podmioty obsługujące płatności, w celu obsługi i realizacji płatności za Usługi;</w:t>
      </w:r>
    </w:p>
    <w:p w:rsidR="00000000" w:rsidDel="00000000" w:rsidP="00000000" w:rsidRDefault="00000000" w:rsidRPr="00000000" w14:paraId="00000026">
      <w:pPr>
        <w:ind w:left="3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podmioty świadczące usługi niezbędne do przesłania informacji transakcyjnych i produktowych za pośrednictwem poczty elektronicznej lub wiadomości SMS w stopniu, w jakim ujawnienie jest niezbędne do zautomatyzowania, uproszczenia i przeanalizowania tych procesów;</w:t>
      </w:r>
    </w:p>
    <w:p w:rsidR="00000000" w:rsidDel="00000000" w:rsidP="00000000" w:rsidRDefault="00000000" w:rsidRPr="00000000" w14:paraId="00000027">
      <w:pPr>
        <w:ind w:left="31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podmioty świadczące usługi księgowe i rachunkowe, doradców prawnych i konsultantów w stopniu w jakim ujawnienie danych jest niezbędne do świadczenia tych usług na naszą rzecz;</w:t>
      </w:r>
      <w:r w:rsidDel="00000000" w:rsidR="00000000" w:rsidRPr="00000000">
        <w:rPr>
          <w:rFonts w:ascii="Times New Roman" w:cs="Times New Roman" w:eastAsia="Times New Roman" w:hAnsi="Times New Roman"/>
          <w:rtl w:val="0"/>
        </w:rPr>
        <w:t xml:space="preserve">[DZP3] </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Powyższe nie wyklucza prawa Tytani24 do upoważnienia innych podmiotów do przetwarzania danych osobowych powierzonych w ramach Umowy, jednak upoważnienie to musi odbyć się zgodnie z zasadami przewidzianymi w art. 28 ust. 2 RODO. Tytani24 są zobowiązani do poinformowania Użytkownika z odpowiednim wyprzedzeniem o wszelkich zamierzonych zmianach dotyczących Podprocesora, dając tym samym Użytkownikowi możliwość wyrażenia sprzeciwu wobec takiej zmiany;</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Jeśli Tytani24 dokonają podpowierzenia przetwarzania danych osobowych Tytani24 zapewniają, iż Podprocesor wypełnia te same obowiązki ochrony danych osobowych, jakie zostały nałożone na Tytani24 w niniejszej Umowie, w szczególności obowiązek zapewnienia wdrożenia odpowiednich środków technicznych i organizacyjnych, tak aby przetwarzane przez niego danych osobowych było zgodne z wymogami RODO,</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ponoszą odpowiedzialność za wypełnienie obowiązków ochrony danych osobowych przez Podprocesora,</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2.2.4.5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są zobowiązani przedstawić na każde wezwanie Użytkownika, nie częściej jednak niż raz na kwartał, w terminie 5 dni roboczych od daty doręczenia wezwania pełna listę Podprocesorów, którym podpowierzył przetwarzanie danych osobowych Użytkownika.</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biorąc pod uwagę charakter przetwarzania, w miarę możliwości pomagać Użytkownikowi poprzez odpowiednie środki techniczne i organizacyjne wywiązać się z obowiązku odpowiadania na żądania osoby, której dane dotyczą, w zakresie wykonywania jej praw określonych w rozdziale III RODO,</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niezwłocznie informować Użytkownika o tym, iż osoba, której dane dotyczą, skierowała do Tytani24 korespondencję zawierającą żądanie w zakresie wykonywania praw osoby określonych w rozdziale III RODO, jak również udostępniać treść tej korespondencji,</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uwzględniając charakter przetwarzania oraz dostępne Tytani24 informacje, pomagać Użytkownikowi wywiązać się z obowiązków określonych w art. 32-36 RODO,</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udostępniać Użytkownikowi wszelkie informacje niezbędne do wykazania spełnienia obowiązków w zakresie powierzenia przetwarzania danych. Tytani24 są zobowiązani udostępnić niezbędne informacje i dokumenty w terminie 5 Dni Roboczych od przesłania żądania przez Użytkownika na adres Tytani24.</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są zobowiązani prowadzić rejestr wszystkich kategorii czynności przetwarzania danych osobowych dokonywanych w imieniu Użytkownika, zgodnie z art. 30 ust. 2 RODO, chyba że do Użytkownika znajduje zastosowanie wyjątek, o którym mowa w art. 30 ust. 5 RODO.</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 przypadku stwierdzenia naruszenia ochrony danych osobowych Tytani24 bez zbędnej zwłoki, jednak nie później niż wciągu 48 godzin od powzięcia wiadomości o naruszeniu, zgłaszają ten fakt Użytkownikowi, wskazując w zgłoszeniu:</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opis charakteru naruszenia ochrony danych osobowych, w tym w miarę możliwości kategorie oraz przybliżoną liczbę osób, których dane dotyczą, oraz kategorie i przybliżoną liczbę wpisów danych osobowych, których dotyczy naruszenie,</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imię i nazwisko oraz dane kontaktowe inspektora ochrony danych lub oznaczenie innego punktu kontaktowego, od którego można uzyskać więcej informacji,</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opis możliwych konsekwencji naruszenia ochrony danych osobowych,</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opis środków zastosowanych lub proponowanych przez Tytani24a w celu zapobieżeniu naruszeniu ochrony danych osobowych, w tym w stosownych przypadkach środków w celu zminimalizowania jego ewentualnych negatywnych skutków.</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Zgłoszenie naruszenia ochrony danych osobowych następuje na adres Użytkownika wskazany w PT24.</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Jeśli informacji, o których mowa w art. 2.5 powyżej, nie da się udzielić w wyznaczonym czasie, Tytani24 mają obowiązek udzielać je Użytkownikowi sukcesywnie bez zbędnej zwłoki.</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Do czasu przekazania Tytani24 instrukcji postępowania w związku z naruszeniem ochrony danych, Tytani24 podejmuje bez zbędnej zwłoki działania, jakie uzna za stosowne, mające na celu ograniczenie lub usuniecie negatywnych skutków stwierdzonego naruszenia.</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Bez wyraźnej instrukcji Użytkownika, Tytani24 nie są zobowiązani do informowania o naruszeniu ochrony danych osobowych organu nadzorczego ani osób, których dane zostały naruszone.</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dokumentują wszelkie naruszenia ochrony powierzonych im przez Użytkownika danych osobowych, w tym okoliczności naruszenia ochrony danych osobowych, jego skutki oraz podjęte działania zaradcze, jak również udostępniają tę dokumentację Użytkownikowi na jego żądanie.</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mają obowiązek współdziałać z Użytkownikiem w zakresie niezbędnym do ustalenia przyczyn szkody wyrządzonej osobie, której dane dotyczą.</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2.10</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 przypadku, gdy Tytani24 stosuje zatwierdzony kodeks postępowania, o którym mowa w art. 40 RODO lub zatwierdzony mechanizm certyfikacji, o którym mowa w art. 42 RODO, jest to wystarczające do wykazania zapewnienia gwarancji, o których mowa w ustępie poprzedzającym.</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Prawo kontroli</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Użytkownik posiada prawo kontroli właściwego przetwarzania przez Tytani24 powierzonych mu danych osobowych. Tytani24 na każdy pisemny wniosek Użytkownika zobowiązani są do udzielenia pisemnej informacji dotyczącej przetwarzania powierzonych im danych osobowych, w terminie 5 Dni Roboczych od dnia otrzymania stosownego wniosku.</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umożliwiają Użytkownikowi lub upoważnionemu przez niego audytorowi przeprowadzenie audytów, w tym inspekcji, i zobowiązuję się współpracować z nim w zakresie dotyczącym Usług świadczonych na podstawie Regulaminu. Użytkownik, pod sankcją odmowy prawa do przeprowadzenia audytu, zobowiązuje się, że on sam lub upoważniony audytor nie będzie podmiotem prowadzącym pośrednio lub bezpośrednio działalność konkurencyjną w stosunku do działalności prowadzonej przez Tytani24. Ewentualne czynności kontrolne będą prowadzone na koszt i ryzyko Użytkownika oraz z pod warunkiem zawarcia odrębnej umowy w zakresie ochrony tajemnicy przedsiębiorstwa.</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Termin przeprowadzenia kontroli zostanie ustalony z Tytani24, jednak kontrola nie może odbyć się wcześniej niż 5 Dni Roboczych od dnia przekazania Tytani24 żądania na piśmie.</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niezwłocznie informuje Użytkownika, jeśli wydane im polecenie, w oparciu o które prowadzona jest kontrola lub audyt, stanowi naruszenie RODO lub innych powszechnie obowiązujących przepisów.</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 przeprowadzonym audycie przedstawiciel Użytkownika lub upoważniony przez Użytkownika przedstawiciel audytora sporządza protokół pokontrolny, który podpisują przedstawiciele obu Stron.</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Koszty związane z przeprowadzeniem audytu ponosi podmiot, który zlecił przeprowadzenie audytu, bez prawa do żądania zwrotu takich kosztów ani zapłaty dodatkowego wynagrodzenia.</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Transfer danych osobowych do państw trzecich</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nie mogą przekazywać (transferować) danych osobowych do państwa trzeciego, które znajduje się poza Europejskim Obszarem Gospodarczym (dalej również: „</w:t>
      </w:r>
      <w:r w:rsidDel="00000000" w:rsidR="00000000" w:rsidRPr="00000000">
        <w:rPr>
          <w:rFonts w:ascii="Times New Roman" w:cs="Times New Roman" w:eastAsia="Times New Roman" w:hAnsi="Times New Roman"/>
          <w:b w:val="1"/>
          <w:rtl w:val="0"/>
        </w:rPr>
        <w:t xml:space="preserve">EOG</w:t>
      </w:r>
      <w:r w:rsidDel="00000000" w:rsidR="00000000" w:rsidRPr="00000000">
        <w:rPr>
          <w:rFonts w:ascii="Times New Roman" w:cs="Times New Roman" w:eastAsia="Times New Roman" w:hAnsi="Times New Roman"/>
          <w:rtl w:val="0"/>
        </w:rPr>
        <w:t xml:space="preserve">”), chyba że Użytkownik udzielił uprzedniej zgody zezwalającej na taki transfer.</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Jeśli Użytkownik udzieli Tytani24 uprzedniej zgody na przekazanie danych osobowych do państwa trzeciego, Tytani24 mogą dokonać transferu tych danych osobowych tylko wtedy, gdy:</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państwo docelowe zapewnia adekwatny poziom ochrony danych osobowych do tego, który obowiązuje w Unii Europejskiej; lub</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Użytkownik i Tytani24 lub Podprocesor zawarli umowę w oparciu o standardowe klauzule umowne lub wdrożyli inny mechanizm, który zgodnie z przepisami prawa legalizuje transfer danych do państwa trzeciego.</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Czas trwania Umowy</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Powierzenie trwa przez okres świadczenia Usług na podstawie Regulaminu, z zastrzeżeniem § 3 ust. 6 Regulaminu. W celu uniknięcia wątpliwości, zakończenie świadczenia Usług na podstawie Regulaminu skutkuje rozwiązaniem Umowy.</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 zakończeniu świadczenia Usług, Tytani24 ma obowiązek usunąć lub zwrócić Użytkownikowi – zależnie od jego decyzji– wszelkie dane osobowe, które zostały mu powierzone, jak również usunąć wszelkie ich istniejące kopie, chyba że powszechnie obowiązujące przepisy nakazują przechowywanie tych danych osobowych.</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 przypadku wstrzymaniu świadczenia Usług na podstawie Regulaminu lub rezygnacji Użytkownika z dalszego świadczenia Usług przez Tytani24, wszelkie dane, pliki i informacje Użytkownika, w tym przechowywane przez Użytkownika dane osobowe, będą przechowywane przez Tytani24 w archiwum przez okres nie dłuższy niż 90 dni od dnia wstrzymania świadczenia Usług. Po upływie tego terminu, wszelkie dane Użytkownika, w tym przechowywane przez niego dane osobowe zostaną bezpowrotnie usunięte a ich przywrócenie, w tym na żądanie Użytkownika, nie będzie możliwe. Tytani24 nie ponoszą żadnej odpowiedzialności za skutki usunięcia danych zgodnie z Regulaminem.</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OdpowiedzialnośĆ</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Tytani24 odpowiadają za szkody spowodowane przetwarzaniem danych osobowych w sposób naruszający przepisy RODO lub inne powszechnie obowiązujące przepisy prawa.</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 przypadku, gdy za szkodę spowodowaną przetwarzaniem odpowiadają zarówno Użytkownik, jak i Tytani24, ponoszą oni odpowiedzialność solidarną za całą szkodę.</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 przypadku, gdy Tytani24 zapłacili odszkodowanie za całą wyrządzoną szkodę spowodowaną przetwarzaniem, mają prawo żądania od Użytkownika zwrotu całości lub części odszkodowania odpowiadającej szkody, za którą ponosi on odpowiedzialność.</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Postanowienia końcowe</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Niniejsza Umowa podlega prawu polskiemu. Umowa została sporządzona w dwóch egzemplarzach, po jednym dla każdej Strony.</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W sprawach, które nie zostały uregulowane Umową, znajdują zastosowanie odpowiednie przepisy Regulaminu oraz przepisy Kodeksu cywilnego, RODO oraz innych obowiązujących przepisów z zakresu ochrony danych osobowych.</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Zmiany Umowy są możliwe wyłącznie w formie pisemnej pod rygorem nieważności, z zastrzeżeniem sytuacji, w których Umowa wprost przewiduje inną formę dokonywania zmian.</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Zgodnie z Regulaminem wszelkie spory w związku z niniejszą Umową zostaną poddane pod rozstrzygnięcie sądu powszechnego miejscowo właściwego ze względu na siedzibę Tytani24.</w:t>
      </w:r>
    </w:p>
    <w:tbl>
      <w:tblPr>
        <w:tblStyle w:val="Table1"/>
        <w:tblW w:w="894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4890"/>
        <w:tblGridChange w:id="0">
          <w:tblGrid>
            <w:gridCol w:w="4050"/>
            <w:gridCol w:w="4890"/>
          </w:tblGrid>
        </w:tblGridChange>
      </w:tblGrid>
      <w:tr>
        <w:trPr>
          <w:trHeight w:val="46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imieniu Użytkownika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imieniu Tytani24a</w:t>
            </w:r>
          </w:p>
        </w:tc>
      </w:tr>
      <w:tr>
        <w:trPr>
          <w:trHeight w:val="1460" w:hRule="atLeast"/>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w:t>
            </w:r>
          </w:p>
          <w:p w:rsidR="00000000" w:rsidDel="00000000" w:rsidP="00000000" w:rsidRDefault="00000000" w:rsidRPr="00000000" w14:paraId="0000005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highlight w:val="yellow"/>
                <w:rtl w:val="0"/>
              </w:rPr>
              <w:t xml:space="preserve">__</w:t>
            </w:r>
            <w:r w:rsidDel="00000000" w:rsidR="00000000" w:rsidRPr="00000000">
              <w:rPr>
                <w:rFonts w:ascii="Times New Roman" w:cs="Times New Roman" w:eastAsia="Times New Roman" w:hAnsi="Times New Roman"/>
                <w:b w:val="1"/>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w:t>
            </w:r>
          </w:p>
          <w:p w:rsidR="00000000" w:rsidDel="00000000" w:rsidP="00000000" w:rsidRDefault="00000000" w:rsidRPr="00000000" w14:paraId="0000005D">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highlight w:val="yellow"/>
                <w:rtl w:val="0"/>
              </w:rPr>
              <w:t xml:space="preserve">__</w:t>
            </w:r>
            <w:r w:rsidDel="00000000" w:rsidR="00000000" w:rsidRPr="00000000">
              <w:rPr>
                <w:rFonts w:ascii="Times New Roman" w:cs="Times New Roman" w:eastAsia="Times New Roman" w:hAnsi="Times New Roman"/>
                <w:b w:val="1"/>
                <w:rtl w:val="0"/>
              </w:rPr>
              <w:t xml:space="preserve">]</w:t>
            </w:r>
          </w:p>
        </w:tc>
      </w:tr>
    </w:tbl>
    <w:p w:rsidR="00000000" w:rsidDel="00000000" w:rsidP="00000000" w:rsidRDefault="00000000" w:rsidRPr="00000000" w14:paraId="0000005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F">
      <w:pPr>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6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ZAŁĄCZNIK NR 1</w:t>
      </w:r>
    </w:p>
    <w:p w:rsidR="00000000" w:rsidDel="00000000" w:rsidP="00000000" w:rsidRDefault="00000000" w:rsidRPr="00000000" w14:paraId="0000006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ZAKRES i KATEGORIE PRZETWARZANIA</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bl>
      <w:tblPr>
        <w:tblStyle w:val="Table2"/>
        <w:tblW w:w="903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1.5497553017944"/>
        <w:gridCol w:w="2681.011419249592"/>
        <w:gridCol w:w="3697.438825448614"/>
        <w:tblGridChange w:id="0">
          <w:tblGrid>
            <w:gridCol w:w="2651.5497553017944"/>
            <w:gridCol w:w="2681.011419249592"/>
            <w:gridCol w:w="3697.438825448614"/>
          </w:tblGrid>
        </w:tblGridChange>
      </w:tblGrid>
      <w:tr>
        <w:trPr>
          <w:trHeight w:val="700" w:hRule="atLeast"/>
        </w:trPr>
        <w:tc>
          <w:tcPr>
            <w:tcBorders>
              <w:top w:color="666666" w:space="0" w:sz="8" w:val="single"/>
              <w:left w:color="666666" w:space="0" w:sz="8" w:val="single"/>
              <w:bottom w:color="666666" w:space="0" w:sz="12" w:val="single"/>
              <w:right w:color="666666" w:space="0" w:sz="8" w:val="single"/>
            </w:tcBorders>
            <w:tcMar>
              <w:top w:w="100.0" w:type="dxa"/>
              <w:left w:w="100.0" w:type="dxa"/>
              <w:bottom w:w="100.0" w:type="dxa"/>
              <w:right w:w="100.0" w:type="dxa"/>
            </w:tcMar>
            <w:vAlign w:val="top"/>
          </w:tcPr>
          <w:p w:rsidR="00000000" w:rsidDel="00000000" w:rsidP="00000000" w:rsidRDefault="00000000" w:rsidRPr="00000000" w14:paraId="0000006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Kategoria osób, których dane dotyczą</w:t>
            </w:r>
          </w:p>
        </w:tc>
        <w:tc>
          <w:tcPr>
            <w:tcBorders>
              <w:top w:color="666666" w:space="0" w:sz="8" w:val="single"/>
              <w:left w:color="000000" w:space="0" w:sz="0" w:val="nil"/>
              <w:bottom w:color="666666" w:space="0" w:sz="12" w:val="single"/>
              <w:right w:color="666666" w:space="0" w:sz="8" w:val="single"/>
            </w:tcBorders>
            <w:tcMar>
              <w:top w:w="100.0" w:type="dxa"/>
              <w:left w:w="100.0" w:type="dxa"/>
              <w:bottom w:w="100.0" w:type="dxa"/>
              <w:right w:w="100.0" w:type="dxa"/>
            </w:tcMar>
            <w:vAlign w:val="top"/>
          </w:tcPr>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Rodzaj danych osobowych</w:t>
            </w:r>
          </w:p>
        </w:tc>
        <w:tc>
          <w:tcPr>
            <w:tcBorders>
              <w:top w:color="666666" w:space="0" w:sz="8" w:val="single"/>
              <w:left w:color="000000" w:space="0" w:sz="0" w:val="nil"/>
              <w:bottom w:color="666666" w:space="0" w:sz="12" w:val="single"/>
              <w:right w:color="666666" w:space="0" w:sz="8" w:val="single"/>
            </w:tcBorders>
            <w:tcMar>
              <w:top w:w="100.0" w:type="dxa"/>
              <w:left w:w="100.0" w:type="dxa"/>
              <w:bottom w:w="100.0" w:type="dxa"/>
              <w:right w:w="100.0" w:type="dxa"/>
            </w:tcMar>
            <w:vAlign w:val="top"/>
          </w:tcPr>
          <w:p w:rsidR="00000000" w:rsidDel="00000000" w:rsidP="00000000" w:rsidRDefault="00000000" w:rsidRPr="00000000" w14:paraId="0000006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operacje przetwarzania</w:t>
            </w:r>
          </w:p>
        </w:tc>
      </w:tr>
      <w:tr>
        <w:trPr>
          <w:trHeight w:val="1100" w:hRule="atLeast"/>
        </w:trPr>
        <w:tc>
          <w:tcPr>
            <w:tcBorders>
              <w:top w:color="000000" w:space="0" w:sz="0" w:val="nil"/>
              <w:left w:color="666666" w:space="0" w:sz="8" w:val="single"/>
              <w:bottom w:color="666666" w:space="0" w:sz="8" w:val="single"/>
              <w:right w:color="666666"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tc>
        <w:tc>
          <w:tcPr>
            <w:tcBorders>
              <w:top w:color="000000" w:space="0" w:sz="0" w:val="nil"/>
              <w:left w:color="000000" w:space="0" w:sz="0" w:val="nil"/>
              <w:bottom w:color="666666" w:space="0" w:sz="8" w:val="single"/>
              <w:right w:color="666666"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666666" w:space="0" w:sz="8" w:val="single"/>
              <w:right w:color="666666"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069">
      <w:pPr>
        <w:rPr>
          <w:rFonts w:ascii="Times New Roman" w:cs="Times New Roman" w:eastAsia="Times New Roman" w:hAnsi="Times New Roman"/>
          <w:color w:val="555555"/>
          <w:highlight w:val="white"/>
        </w:rPr>
      </w:pPr>
      <w:r w:rsidDel="00000000" w:rsidR="00000000" w:rsidRPr="00000000">
        <w:rPr>
          <w:rFonts w:ascii="Times New Roman" w:cs="Times New Roman" w:eastAsia="Times New Roman" w:hAnsi="Times New Roman"/>
          <w:color w:val="555555"/>
          <w:highlight w:val="white"/>
          <w:rtl w:val="0"/>
        </w:rPr>
        <w:t xml:space="preserve"> </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9">
      <w:pPr>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[SM1]</w:t>
      </w:r>
      <w:r w:rsidDel="00000000" w:rsidR="00000000" w:rsidRPr="00000000">
        <w:rPr>
          <w:rFonts w:ascii="Times New Roman" w:cs="Times New Roman" w:eastAsia="Times New Roman" w:hAnsi="Times New Roman"/>
          <w:rtl w:val="0"/>
        </w:rPr>
        <w:t xml:space="preserve">Dla podmiotów wpisanych do KRS</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[SM2]</w:t>
      </w:r>
      <w:r w:rsidDel="00000000" w:rsidR="00000000" w:rsidRPr="00000000">
        <w:rPr>
          <w:rFonts w:ascii="Times New Roman" w:cs="Times New Roman" w:eastAsia="Times New Roman" w:hAnsi="Times New Roman"/>
          <w:rtl w:val="0"/>
        </w:rPr>
        <w:t xml:space="preserve">Dla podmiotów prowadzących jednoosobową działalność gospodarczą.</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[DZP3]</w:t>
      </w:r>
      <w:r w:rsidDel="00000000" w:rsidR="00000000" w:rsidRPr="00000000">
        <w:rPr>
          <w:rFonts w:ascii="Times New Roman" w:cs="Times New Roman" w:eastAsia="Times New Roman" w:hAnsi="Times New Roman"/>
          <w:rtl w:val="0"/>
        </w:rPr>
        <w:t xml:space="preserve">Do potiwerdzenia </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